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2"/>
        <w:gridCol w:w="684"/>
        <w:gridCol w:w="683"/>
        <w:gridCol w:w="399"/>
        <w:gridCol w:w="683"/>
        <w:gridCol w:w="684"/>
        <w:gridCol w:w="2469"/>
        <w:gridCol w:w="1691"/>
        <w:gridCol w:w="52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36" w:type="dxa"/>
            <w:gridSpan w:val="9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eastAsia="zh-CN" w:bidi="ar"/>
              </w:rPr>
              <w:t>宣传部支出绩效目标申报表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一级指标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二级指标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三级指标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指标解释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评价标准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自评分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项目决策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项目目标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instrText xml:space="preserve">INCLUDEPICTURE \d "C:\\Users\\ADMINI~1\\AppData\\Local\\Temp\\ksohtml\\clip_image1093.png" \* MERGEFORMATINET </w:instrTex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4" name="图片 1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instrText xml:space="preserve">INCLUDEPICTURE \d "C:\\Users\\ADMINI~1\\AppData\\Local\\Temp\\ksohtml\\clip_image1094.png" \* MERGEFORMATINET </w:instrTex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2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instrText xml:space="preserve">INCLUDEPICTURE \d "C:\\Users\\ADMINI~1\\AppData\\Local\\Temp\\ksohtml\\clip_image1095.png" \* MERGEFORMATINET </w:instrTex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3" name="图片 3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instrText xml:space="preserve">INCLUDEPICTURE \d "C:\\Users\\ADMINI~1\\AppData\\Local\\Temp\\ksohtml\\clip_image1096.png" \* MERGEFORMATINET </w:instrTex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目标内容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目标是否明确、细化、量化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目标明确（1分），目标细化（1分），目标量化（2分）</w:t>
            </w:r>
          </w:p>
        </w:tc>
        <w:tc>
          <w:tcPr>
            <w:tcW w:w="5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决策过程</w:t>
            </w:r>
          </w:p>
        </w:tc>
        <w:tc>
          <w:tcPr>
            <w:tcW w:w="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决策依据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项目是否符合经济社会发展规划和部门年度工作计划；是否根据需要制定中长期实施规划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项目符合经济社会发展规划和部门年度工作计划（1分），根据需要制定中长期实施规划（1分）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决策程序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项目是否符合申报条件；申报、批复程序是否符合相关管理办法；项目调整是否履行相应手续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项目符合申报条件，申报、批复程序符合相关管理办法（1分），项目实施调整履行相应手续（1分）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资金分配</w:t>
            </w:r>
          </w:p>
        </w:tc>
        <w:tc>
          <w:tcPr>
            <w:tcW w:w="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分配办法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是否根据需要制定相关资金管理办法，并在管理办法中明确资金分配办法；资金分配因素是否全面、合理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办法健全、规范（1分），因素选择全面、合理（1分）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分配结果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资金分配是否符合相关管理办法；分配结果是否合理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项目符合相关分配办法（1分），资金分配合理（1分）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项目管理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资金到位</w:t>
            </w:r>
          </w:p>
        </w:tc>
        <w:tc>
          <w:tcPr>
            <w:tcW w:w="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到位率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实际到位/计划到位×100%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根据项目实际到位资金占计划的比重计算得分（3分）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到位时效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资金是否及时到位；若未及时到位，是否影响项目进度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及时到位（2分），未及时到位但未影响项目进度（1.5分），未及时到位并影响项目进度（0-1分）。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资金管理</w:t>
            </w:r>
          </w:p>
        </w:tc>
        <w:tc>
          <w:tcPr>
            <w:tcW w:w="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资金使用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是否存在支出依据不合规、虚列项目支出的情况；是否存在截留、挤占、挪用项目资金情况；是否存在超标准开支情况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虚列（套取）扣4-7分，支出依据不合规扣1分，截留、挤占、挪用扣3-6分，超标准开支扣2-5分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预算执行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预算支出进度是否达到要求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全年达到90%得13分,低于90%的,每少5个百分点以内扣1分,扣完为止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资金管理、费用支出等制度是否健全，是否严格执行；会计核算是否规范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财务制度健全（1分），严格执行制度（1分），会计核算规范（1分）。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组织实施</w:t>
            </w:r>
          </w:p>
        </w:tc>
        <w:tc>
          <w:tcPr>
            <w:tcW w:w="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组织机构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机构是否健全、分工是否明确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机构健全、分工明确（1分）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管理制度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是否建立健全项目管理制度；是否严格执行相关项目管理制度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建立健全项目管理制度（2分）；严格执行相关项目管理制度（7分）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项目绩效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项目产出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产出数量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15 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完成年初预算100%以上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每减少1个百分点扣3分，扣完为止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项目效果</w:t>
            </w: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热烈喜庆、欢乐祥和、团结向上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非常好（30至35分），较好（20至29分），一般（10至19分），差不得分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56FDF"/>
    <w:rsid w:val="08F37CC4"/>
    <w:rsid w:val="58956FDF"/>
    <w:rsid w:val="7DBC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2019-03-26T07:42:00Z</dcterms:created>
  <dc:creator>ccb</dc:creator>
  <cp:lastModifiedBy>Administrator</cp:lastModifiedBy>
  <dcterms:modified xsi:type="dcterms:W3CDTF">2020-06-23T03:13:05Z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