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sz w:val="28"/>
          <w:szCs w:val="28"/>
        </w:rPr>
      </w:pPr>
      <w:r>
        <w:rPr>
          <w:rFonts w:hint="eastAsia" w:ascii="黑体" w:hAnsi="黑体" w:eastAsia="黑体"/>
          <w:szCs w:val="32"/>
        </w:rPr>
        <w:t xml:space="preserve">附件2        </w:t>
      </w:r>
      <w:r>
        <w:rPr>
          <w:rFonts w:hint="eastAsia" w:ascii="黑体" w:eastAsia="黑体"/>
        </w:rPr>
        <w:t xml:space="preserve">                                           </w:t>
      </w:r>
      <w:r>
        <w:rPr>
          <w:rFonts w:hint="eastAsia"/>
        </w:rPr>
        <w:t xml:space="preserve">                                                 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截至2020年末发行的新增政府专项债券情况表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5765" w:type="dxa"/>
        <w:tblInd w:w="-1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90"/>
        <w:gridCol w:w="750"/>
        <w:gridCol w:w="555"/>
        <w:gridCol w:w="813"/>
        <w:gridCol w:w="882"/>
        <w:gridCol w:w="735"/>
        <w:gridCol w:w="513"/>
        <w:gridCol w:w="1047"/>
        <w:gridCol w:w="735"/>
        <w:gridCol w:w="840"/>
        <w:gridCol w:w="900"/>
        <w:gridCol w:w="990"/>
        <w:gridCol w:w="1110"/>
        <w:gridCol w:w="945"/>
        <w:gridCol w:w="765"/>
        <w:gridCol w:w="1065"/>
        <w:gridCol w:w="4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5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83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8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债券项目资产类型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已取得项目收益</w:t>
            </w:r>
          </w:p>
        </w:tc>
        <w:tc>
          <w:tcPr>
            <w:tcW w:w="7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形成资产情况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桂林市象山区城乡基础设施建设投资有限公司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2020年广西壮族自治区政府社会领域专项债券（七期）——2020年广西壮族自治区政府专项债券（二十四期）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2005441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其他自平衡专项债券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-0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-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3.76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象山区龙船坪特色街区（码头旅游服务设施建设项目） 一期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非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土地储备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棚户区改造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34045.22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（万元）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6000（万元）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28600（万元）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6000（万元）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已形成资产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已基本完成道路等基础设施建设，试运营阶段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ascii="Calibri" w:hAnsi="Calibri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18" w:left="1985" w:header="851" w:footer="992" w:gutter="0"/>
          <w:cols w:space="720" w:num="1"/>
          <w:docGrid w:linePitch="435" w:charSpace="0"/>
        </w:sectPr>
      </w:pPr>
      <w:r>
        <w:rPr>
          <w:rFonts w:hint="eastAsia"/>
          <w:sz w:val="28"/>
          <w:szCs w:val="28"/>
        </w:rPr>
        <w:t>注：本表由使用专项债券资金的部门逐笔填列后于每年6月底前公开，本次反映2019-2020年末专项债券及对应项目情况。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附件4</w:t>
      </w: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截至2020年末发行的新增地方政府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专项债券资金收支情况表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50"/>
        <w:gridCol w:w="1128"/>
        <w:gridCol w:w="4292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49" w:type="dxa"/>
            <w:vMerge w:val="restart"/>
            <w:shd w:val="clear" w:color="auto" w:fill="auto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578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截至2020年末新增专项债券资金收入</w:t>
            </w:r>
          </w:p>
        </w:tc>
        <w:tc>
          <w:tcPr>
            <w:tcW w:w="5087" w:type="dxa"/>
            <w:gridSpan w:val="2"/>
            <w:shd w:val="clear" w:color="auto" w:fill="auto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截至2020年末新增专项债券资金安排的支出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128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450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restart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…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2020年广西壮族自治区政府社会领域专项债券（七期）——2020年广西壮族自治区政府专项债券（二十四期）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128" w:type="dxa"/>
            <w:vMerge w:val="restart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</w:p>
          <w:p>
            <w:pPr>
              <w:rPr>
                <w:rFonts w:hint="eastAsia" w:hAnsi="黑体"/>
                <w:sz w:val="24"/>
                <w:szCs w:val="24"/>
              </w:rPr>
            </w:pPr>
          </w:p>
          <w:p>
            <w:pPr>
              <w:rPr>
                <w:rFonts w:hint="eastAsia" w:hAnsi="黑体"/>
                <w:sz w:val="24"/>
                <w:szCs w:val="24"/>
              </w:rPr>
            </w:pPr>
          </w:p>
          <w:p>
            <w:pPr>
              <w:rPr>
                <w:rFonts w:hint="eastAsia" w:hAnsi="黑体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hAnsi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206科学技术支出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207文化旅游体育与传媒支出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208社会保障和就业支出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211节能环保支出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212城乡社区支出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213农林水支出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214交通运输支出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215资源勘探信息等支出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49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128" w:type="dxa"/>
            <w:vMerge w:val="continue"/>
            <w:tcBorders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292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217金融支出</w:t>
            </w:r>
          </w:p>
        </w:tc>
        <w:tc>
          <w:tcPr>
            <w:tcW w:w="795" w:type="dxa"/>
            <w:shd w:val="clear" w:color="auto" w:fill="auto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黑体" w:hAnsi="黑体" w:eastAsia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4ACD"/>
    <w:rsid w:val="1D3C7558"/>
    <w:rsid w:val="52866F1A"/>
    <w:rsid w:val="7958015E"/>
    <w:rsid w:val="7F50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。</cp:lastModifiedBy>
  <dcterms:modified xsi:type="dcterms:W3CDTF">2021-06-30T03:09:57Z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