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textAlignment w:val="auto"/>
        <w:rPr>
          <w:rFonts w:hint="default" w:ascii="微软雅黑" w:hAnsi="微软雅黑" w:eastAsia="微软雅黑" w:cs="微软雅黑"/>
          <w:color w:val="333333"/>
          <w:sz w:val="24"/>
          <w:szCs w:val="24"/>
          <w:shd w:val="clear" w:fill="FFFFFF"/>
          <w:lang w:val="en-US" w:eastAsia="zh-CN"/>
        </w:rPr>
      </w:pPr>
      <w:r>
        <w:rPr>
          <w:rFonts w:hint="eastAsia" w:ascii="微软雅黑" w:hAnsi="微软雅黑" w:eastAsia="微软雅黑" w:cs="微软雅黑"/>
          <w:color w:val="333333"/>
          <w:sz w:val="24"/>
          <w:szCs w:val="24"/>
          <w:shd w:val="clear"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sz w:val="32"/>
          <w:szCs w:val="32"/>
        </w:rPr>
      </w:pPr>
      <w:r>
        <w:rPr>
          <w:rFonts w:hint="eastAsia" w:ascii="微软雅黑" w:hAnsi="微软雅黑" w:eastAsia="微软雅黑" w:cs="微软雅黑"/>
          <w:color w:val="333333"/>
          <w:sz w:val="32"/>
          <w:szCs w:val="32"/>
          <w:shd w:val="clear" w:fill="FFFFFF"/>
        </w:rPr>
        <w:t>国家税务总局 人力资源社会保障部 国务院扶贫办 教育部</w:t>
      </w:r>
    </w:p>
    <w:p>
      <w:pPr>
        <w:keepNext w:val="0"/>
        <w:keepLines w:val="0"/>
        <w:pageBreakBefore w:val="0"/>
        <w:widowControl/>
        <w:suppressLineNumbers w:val="0"/>
        <w:pBdr>
          <w:top w:val="single" w:color="DEDCD8" w:sz="6" w:space="0"/>
          <w:left w:val="single" w:color="DEDCD8" w:sz="6" w:space="0"/>
          <w:bottom w:val="single" w:color="DEDCD8" w:sz="6" w:space="0"/>
          <w:right w:val="single" w:color="DEDCD8" w:sz="6" w:space="0"/>
        </w:pBdr>
        <w:shd w:val="clear" w:fill="FFFFFF"/>
        <w:kinsoku/>
        <w:wordWrap/>
        <w:overflowPunct/>
        <w:topLinePunct w:val="0"/>
        <w:autoSpaceDE/>
        <w:autoSpaceDN/>
        <w:bidi w:val="0"/>
        <w:adjustRightInd/>
        <w:snapToGrid/>
        <w:spacing w:beforeAutospacing="0" w:afterAutospacing="0" w:line="580" w:lineRule="exact"/>
        <w:ind w:left="0" w:right="0"/>
        <w:jc w:val="center"/>
        <w:textAlignment w:val="auto"/>
        <w:rPr>
          <w:rFonts w:hint="eastAsia" w:ascii="微软雅黑" w:hAnsi="微软雅黑" w:eastAsia="微软雅黑" w:cs="微软雅黑"/>
          <w:color w:val="333333"/>
          <w:kern w:val="0"/>
          <w:sz w:val="32"/>
          <w:szCs w:val="32"/>
          <w:shd w:val="clear" w:fill="FFFFFF"/>
          <w:lang w:val="en-US" w:eastAsia="zh-CN" w:bidi="ar"/>
        </w:rPr>
      </w:pPr>
      <w:r>
        <w:rPr>
          <w:rFonts w:hint="eastAsia" w:ascii="微软雅黑" w:hAnsi="微软雅黑" w:eastAsia="微软雅黑" w:cs="微软雅黑"/>
          <w:color w:val="333333"/>
          <w:kern w:val="0"/>
          <w:sz w:val="32"/>
          <w:szCs w:val="32"/>
          <w:shd w:val="clear" w:fill="FFFFFF"/>
          <w:lang w:val="en-US" w:eastAsia="zh-CN" w:bidi="ar"/>
        </w:rPr>
        <w:t>关于实施支持和促进重点群体创业就业有关税收政策具体操作问题的公告</w:t>
      </w:r>
    </w:p>
    <w:p>
      <w:pPr>
        <w:keepNext w:val="0"/>
        <w:keepLines w:val="0"/>
        <w:pageBreakBefore w:val="0"/>
        <w:widowControl/>
        <w:suppressLineNumbers w:val="0"/>
        <w:pBdr>
          <w:top w:val="single" w:color="DEDCD8" w:sz="6" w:space="0"/>
          <w:left w:val="single" w:color="DEDCD8" w:sz="6" w:space="0"/>
          <w:bottom w:val="single" w:color="DEDCD8" w:sz="6" w:space="0"/>
          <w:right w:val="single" w:color="DEDCD8" w:sz="6" w:space="0"/>
        </w:pBdr>
        <w:shd w:val="clear" w:fill="FFFFFF"/>
        <w:kinsoku/>
        <w:wordWrap/>
        <w:overflowPunct/>
        <w:topLinePunct w:val="0"/>
        <w:autoSpaceDE/>
        <w:autoSpaceDN/>
        <w:bidi w:val="0"/>
        <w:adjustRightInd/>
        <w:snapToGrid/>
        <w:spacing w:before="313" w:beforeLines="100" w:beforeAutospacing="0" w:after="157" w:afterLines="50" w:afterAutospacing="0" w:line="580" w:lineRule="exact"/>
        <w:ind w:left="0" w:right="0"/>
        <w:jc w:val="center"/>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b w:val="0"/>
          <w:color w:val="666666"/>
          <w:kern w:val="0"/>
          <w:sz w:val="28"/>
          <w:szCs w:val="28"/>
          <w:shd w:val="clear" w:fill="FFFFFF"/>
          <w:lang w:val="en-US" w:eastAsia="zh-CN" w:bidi="ar"/>
        </w:rPr>
        <w:t>国家税务总局公告2019年第10号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480" w:firstLineChars="20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shd w:val="clear" w:fill="FFFFFF"/>
        </w:rPr>
        <w:t>为贯彻落实《财政部 税务总局 人力资源社会保障部 国务院扶贫办关于进一步支持和促进重点群体创业就业有关税收政策的通知》（财税〔2019〕22号）精神，现就具体操作问题公告如下：</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8"/>
          <w:rFonts w:hint="eastAsia" w:ascii="微软雅黑" w:hAnsi="微软雅黑" w:eastAsia="微软雅黑" w:cs="微软雅黑"/>
          <w:color w:val="333333"/>
          <w:sz w:val="24"/>
          <w:szCs w:val="24"/>
          <w:shd w:val="clear" w:fill="FFFFFF"/>
        </w:rPr>
        <w:t>一、重点群体个体经营税收政策</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（一）申请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1.建档立卡贫困人口从事个体经营的，向主管税务机关申报纳税时享受优惠。</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登记失业半年以上的人员，零就业家庭、享受城市居民最低生活保障家庭劳动年龄的登记失业人员，以及毕业年度内高校毕业生，可持《就业创业证》（或《就业失业登记证》，下同）、个体工商户登记执照（未完成“两证整合”的还须持《税务登记证》）向创业地县以上（含县级，下同）人力资源社会保障部门提出申请。县以上人力资源社会保障部门应当按照财税〔2019〕22号文件的规定，核实其是否享受过重点群体创业就业税收优惠政策。对符合财税〔2019〕22号文件规定条件的人员在《就业创业证》上注明“自主创业税收政策”或“毕业年度内自主创业税收政策”。</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（二）税款减免顺序及额度</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重点群体从事个体经营的，按照财税〔2019〕22号文件第一条的规定，在年度减免税限额内，依次扣减增值税、城市维护建设税、教育费附加、地方教育附加和个人所得税。城市维护建设税、教育费附加、地方教育附加的计税依据是享受本项税收优惠政策前的增值税应纳税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纳税人的实际经营期不足1年的，应当以实际月数换算其减免税限额。换算公式为：减免税限额＝年度减免税限额÷12×实际经营月数。</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纳税人实际应缴纳的增值税、城市维护建设税、教育费附加、地方教育附加和个人所得税小于减免税限额的，以实际应缴纳的增值税、城市维护建设税、教育费附加、地方教育附加和个人所得税税额为限；实际应缴纳的增值税、城市维护建设税、教育费附加、地方教育附加和个人所得税大于减免税限额的，以减免税限额为限。</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（三）税收减免管理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登记失业半年以上的人员，零就业家庭、城市低保家庭的登记失业人员，以及毕业年度内高校毕业生享受本项税收优惠的，由其留存《就业创业证》（注明“自主创业税收政策”或“毕业年度内自主创业税收政策”）备查，建档立卡贫困人口无需留存资料备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8"/>
          <w:rFonts w:hint="eastAsia" w:ascii="微软雅黑" w:hAnsi="微软雅黑" w:eastAsia="微软雅黑" w:cs="微软雅黑"/>
          <w:color w:val="333333"/>
          <w:sz w:val="24"/>
          <w:szCs w:val="24"/>
          <w:highlight w:val="none"/>
          <w:shd w:val="clear" w:fill="FFFFFF"/>
        </w:rPr>
        <w:t>　二、企业招用重点群体税收政策</w:t>
      </w:r>
      <w:r>
        <w:rPr>
          <w:rFonts w:hint="eastAsia" w:ascii="微软雅黑" w:hAnsi="微软雅黑" w:eastAsia="微软雅黑" w:cs="微软雅黑"/>
          <w:color w:val="333333"/>
          <w:sz w:val="24"/>
          <w:szCs w:val="24"/>
          <w:highlight w:val="none"/>
          <w:shd w:val="clear" w:fill="FFFFFF"/>
        </w:rPr>
        <w:br w:type="textWrapping"/>
      </w:r>
      <w:r>
        <w:rPr>
          <w:rFonts w:hint="eastAsia" w:ascii="微软雅黑" w:hAnsi="微软雅黑" w:eastAsia="微软雅黑" w:cs="微软雅黑"/>
          <w:color w:val="333333"/>
          <w:sz w:val="24"/>
          <w:szCs w:val="24"/>
          <w:highlight w:val="none"/>
          <w:shd w:val="clear" w:fill="FFFFFF"/>
        </w:rPr>
        <w:t>　　（一）申请</w:t>
      </w:r>
      <w:r>
        <w:rPr>
          <w:rFonts w:hint="eastAsia" w:ascii="微软雅黑" w:hAnsi="微软雅黑" w:eastAsia="微软雅黑" w:cs="微软雅黑"/>
          <w:color w:val="333333"/>
          <w:sz w:val="24"/>
          <w:szCs w:val="24"/>
          <w:highlight w:val="none"/>
          <w:shd w:val="clear" w:fill="FFFFFF"/>
        </w:rPr>
        <w:br w:type="textWrapping"/>
      </w:r>
      <w:r>
        <w:rPr>
          <w:rFonts w:hint="eastAsia" w:ascii="微软雅黑" w:hAnsi="微软雅黑" w:eastAsia="微软雅黑" w:cs="微软雅黑"/>
          <w:color w:val="333333"/>
          <w:sz w:val="24"/>
          <w:szCs w:val="24"/>
          <w:highlight w:val="none"/>
          <w:shd w:val="clear" w:fill="FFFFFF"/>
        </w:rPr>
        <w:t>　　享受招用重点群体就业税收优惠政策的企业，持下列材料向县以上人力资源社会保障部门递交申请：</w:t>
      </w:r>
      <w:r>
        <w:rPr>
          <w:rFonts w:hint="eastAsia" w:ascii="微软雅黑" w:hAnsi="微软雅黑" w:eastAsia="微软雅黑" w:cs="微软雅黑"/>
          <w:color w:val="333333"/>
          <w:sz w:val="24"/>
          <w:szCs w:val="24"/>
          <w:highlight w:val="none"/>
          <w:shd w:val="clear" w:fill="FFFFFF"/>
        </w:rPr>
        <w:br w:type="textWrapping"/>
      </w:r>
      <w:r>
        <w:rPr>
          <w:rFonts w:hint="eastAsia" w:ascii="微软雅黑" w:hAnsi="微软雅黑" w:eastAsia="微软雅黑" w:cs="微软雅黑"/>
          <w:color w:val="333333"/>
          <w:sz w:val="24"/>
          <w:szCs w:val="24"/>
          <w:highlight w:val="none"/>
          <w:shd w:val="clear" w:fill="FFFFFF"/>
        </w:rPr>
        <w:t>　　1.招用人员持有的《就业创业证》（建档立卡贫困人口不需提供）。</w:t>
      </w:r>
      <w:r>
        <w:rPr>
          <w:rFonts w:hint="eastAsia" w:ascii="微软雅黑" w:hAnsi="微软雅黑" w:eastAsia="微软雅黑" w:cs="微软雅黑"/>
          <w:color w:val="333333"/>
          <w:sz w:val="24"/>
          <w:szCs w:val="24"/>
          <w:highlight w:val="none"/>
          <w:shd w:val="clear" w:fill="FFFFFF"/>
        </w:rPr>
        <w:br w:type="textWrapping"/>
      </w:r>
      <w:r>
        <w:rPr>
          <w:rFonts w:hint="eastAsia" w:ascii="微软雅黑" w:hAnsi="微软雅黑" w:eastAsia="微软雅黑" w:cs="微软雅黑"/>
          <w:color w:val="333333"/>
          <w:sz w:val="24"/>
          <w:szCs w:val="24"/>
          <w:highlight w:val="none"/>
          <w:shd w:val="clear" w:fill="FFFFFF"/>
        </w:rPr>
        <w:t>　　2.企业与招用重点群体签订的劳动合同（副本），企业依法为重点群体缴纳的社会保险记录。通过内部信息共享、数据比对等方式审核的地方，可不再要求企业提供缴纳社会保险记录。</w:t>
      </w:r>
      <w:r>
        <w:rPr>
          <w:rFonts w:hint="eastAsia" w:ascii="微软雅黑" w:hAnsi="微软雅黑" w:eastAsia="微软雅黑" w:cs="微软雅黑"/>
          <w:color w:val="333333"/>
          <w:sz w:val="24"/>
          <w:szCs w:val="24"/>
          <w:highlight w:val="none"/>
          <w:shd w:val="clear" w:fill="FFFFFF"/>
        </w:rPr>
        <w:br w:type="textWrapping"/>
      </w:r>
      <w:r>
        <w:rPr>
          <w:rFonts w:hint="eastAsia" w:ascii="微软雅黑" w:hAnsi="微软雅黑" w:eastAsia="微软雅黑" w:cs="微软雅黑"/>
          <w:color w:val="333333"/>
          <w:sz w:val="24"/>
          <w:szCs w:val="24"/>
          <w:shd w:val="clear" w:fill="FFFFFF"/>
        </w:rPr>
        <w:t>　　县以上人力资源社会保障部门接到企业报送的材料后，重点核实以下情况：</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1.招用人员是否属于享受税收优惠政策的人员范围，以前是否已享受过重点群体创业就业税收优惠政策。</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2.企业是否与招用人员签订了1年以上期限劳动合同，并依法为招用人员缴纳社会保险。</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核实后，对持有《就业创业证》的重点群体，在其《就业创业证》上注明“企业吸纳税收政策”；对符合条件的企业核发《企业吸纳重点群体就业认定证明》。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招用人员发生变化的，应向人力资源社会保障部门办理变更申请。</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本公告所称企业是指属于增值税纳税人或企业所得税纳税人的企业等单位。</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（二）税款减免顺序及额度</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1.纳税人按本单位招用重点群体的人数及其实际工作月数核算本单位减免税总额，在减免税总额内每月依次扣减增值税、城市维护建设税、教育费附加和地方教育附加。城市维护建设税、教育费附加、地方教育附加的计税依据是享受本项税收优惠政策前的增值税应纳税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纳税人实际应缴纳的增值税、城市维护建设税、教育费附加和地方教育附加小于核算的减免税总额的，以实际应缴纳的增值税、城市维护建设税、教育费附加、地方教育附加为限；实际应缴纳的增值税、城市维护建设税、教育费附加和地方教育附加大于核算的减免税总额的，以核算的减免税总额为限。纳税年度终了，如果纳税人实际减免的增值税、城市维护建设税、教育费附加和地方教育附加小于核算的减免税总额，纳税人在企业所得税汇算清缴时，以差额部分扣减企业所得税。当年扣减不完的，不再结转以后年度扣减。</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享受优惠政策当年，重点群体人员工作不满1年的，应当以实际月数换算其减免税总额。</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减免税总额=∑每名重点群体人员本年度在本企业工作月数÷12×具体定额标准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2.第2年及以后年度当年新招用人员、原招用人员及其工作时间按上述程序和办法执行。计算每名重点群体人员享受税收优惠政策的期限最长不超过36个月。</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（三）税收减免管理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企业招用重点群体享受本</w:t>
      </w:r>
      <w:bookmarkStart w:id="0" w:name="_GoBack"/>
      <w:bookmarkEnd w:id="0"/>
      <w:r>
        <w:rPr>
          <w:rFonts w:hint="eastAsia" w:ascii="微软雅黑" w:hAnsi="微软雅黑" w:eastAsia="微软雅黑" w:cs="微软雅黑"/>
          <w:color w:val="333333"/>
          <w:sz w:val="24"/>
          <w:szCs w:val="24"/>
          <w:shd w:val="clear" w:fill="FFFFFF"/>
        </w:rPr>
        <w:t>项优惠的，由企业留存以下材料备查：</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Fonts w:hint="eastAsia" w:ascii="微软雅黑" w:hAnsi="微软雅黑" w:eastAsia="微软雅黑" w:cs="微软雅黑"/>
          <w:b/>
          <w:bCs/>
          <w:color w:val="0000FF"/>
          <w:sz w:val="24"/>
          <w:szCs w:val="24"/>
          <w:shd w:val="clear" w:fill="FFFFFF"/>
        </w:rPr>
        <w:t>1.享受税收优惠政策的登记失业半年以上的人员，零就业家庭、城市低保家庭的登记失业</w:t>
      </w:r>
      <w:r>
        <w:rPr>
          <w:rFonts w:hint="eastAsia" w:ascii="微软雅黑" w:hAnsi="微软雅黑" w:eastAsia="微软雅黑" w:cs="微软雅黑"/>
          <w:b/>
          <w:bCs/>
          <w:color w:val="0000FF"/>
          <w:sz w:val="24"/>
          <w:szCs w:val="24"/>
          <w:highlight w:val="none"/>
          <w:shd w:val="clear" w:fill="FFFFFF"/>
        </w:rPr>
        <w:t>人员，以及毕业年度内高校毕业生的《就业创业证》（注明“企</w:t>
      </w:r>
      <w:r>
        <w:rPr>
          <w:rFonts w:hint="eastAsia" w:ascii="微软雅黑" w:hAnsi="微软雅黑" w:eastAsia="微软雅黑" w:cs="微软雅黑"/>
          <w:b/>
          <w:bCs/>
          <w:color w:val="0000FF"/>
          <w:sz w:val="24"/>
          <w:szCs w:val="24"/>
          <w:shd w:val="clear" w:fill="FFFFFF"/>
        </w:rPr>
        <w:t>业吸纳税收政策”）。</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2.县以上人力资源社会保障部门核发的《企业吸纳重点群体就业认定证明》。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3.《重点群体人员本年度实际工作时间表》（见附件）。</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8"/>
          <w:rFonts w:hint="eastAsia" w:ascii="微软雅黑" w:hAnsi="微软雅黑" w:eastAsia="微软雅黑" w:cs="微软雅黑"/>
          <w:color w:val="333333"/>
          <w:sz w:val="24"/>
          <w:szCs w:val="24"/>
          <w:shd w:val="clear" w:fill="FFFFFF"/>
        </w:rPr>
        <w:t>　三、凭《就业创业证》享受上述优惠政策的人员，按以下规定申领《就业创业证》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（一）失业人员在常住地公共就业服务机构进行失业登记，申领《就业创业证》。对其中的零就业家庭、城市低保家庭的登记失业人员，公共就业服务机构应在其《就业创业证》上予以注明。</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毕业年度内高校毕业生在校期间凭学生证向公共就业服务机构申领《就业创业证》，或委托所在高校就业指导中心向公共就业服务机构代为申领《就业创业证》；毕业年度内高校毕业生离校后可凭毕业证直接向公共就业服务机构按规定申领《就业创业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8"/>
          <w:rFonts w:hint="eastAsia" w:ascii="微软雅黑" w:hAnsi="微软雅黑" w:eastAsia="微软雅黑" w:cs="微软雅黑"/>
          <w:color w:val="333333"/>
          <w:sz w:val="24"/>
          <w:szCs w:val="24"/>
          <w:shd w:val="clear" w:fill="FFFFFF"/>
        </w:rPr>
        <w:t>四、税收优惠政策管理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一）严格各项凭证的审核发放。任何单位或个人不得伪造、涂改、转让、出租相关凭证，违者将依法予以惩处；对出借、转让《就业创业证》的人员，主管人力资源社会保障部门要收回其《就业创业证》并记录在案；对采取上述手段已经获取减免税的企业和个人，主管税务机关要追缴其已减免的税款，并依法予以处理。</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二）《就业创业证》采用实名制，限持证者本人使用。创业人员从事个体经营的，《就业创业证》由本人保管；被用人单位招用的，享受税收优惠政策期间，证件由用人单位保管。《就业创业证》由人力资源社会保障部统一样式，各省、自治区、直辖市人力资源社会保障部门负责印制，作为审核劳动者就业失业状况和享受政策情况的有效凭证。</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（三）《企业吸纳重点群体就业认定证明》由人力资源社会保障部统一样式，各省、自治区、直辖市人力资源社会保障部门统一印制，统一编号备案，相关信息由当地人力资源社会保障部门按需提供给税务部门。</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四）县以上人力资源社会保障、税务部门及扶贫办要建立劳动者就业信息交换和协查制度。人力资源社会保障部建立全国《就业创业证》查询系统（http://jyjc.mohrss.gov.cn），供各级人力资源社会保障、财政、税务部门查询《就业创业证》信息。国务院扶贫办建立全国统一的全国扶贫开发信息系统，供各级扶贫办、人力资源社会保障、财政、税务部门查询建档立卡贫困人口身份等相关信息。</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五）各级税务机关对《就业创业证》或建档立卡贫困人口身份有疑问的，可提请同级人力资源社会保障部门、扶贫办予以协查，同级人力资源社会保障部门、扶贫办应根据具体情况规定合理的工作时限，并在时限内将协查结果通报提请协查的税务机关。</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w:t>
      </w:r>
      <w:r>
        <w:rPr>
          <w:rStyle w:val="8"/>
          <w:rFonts w:hint="eastAsia" w:ascii="微软雅黑" w:hAnsi="微软雅黑" w:eastAsia="微软雅黑" w:cs="微软雅黑"/>
          <w:color w:val="333333"/>
          <w:sz w:val="24"/>
          <w:szCs w:val="24"/>
          <w:shd w:val="clear" w:fill="FFFFFF"/>
        </w:rPr>
        <w:t>　五、本公告自2019年1月1日起施行。</w:t>
      </w:r>
      <w:r>
        <w:rPr>
          <w:rFonts w:hint="eastAsia" w:ascii="微软雅黑" w:hAnsi="微软雅黑" w:eastAsia="微软雅黑" w:cs="微软雅黑"/>
          <w:color w:val="333333"/>
          <w:sz w:val="24"/>
          <w:szCs w:val="24"/>
          <w:shd w:val="clear" w:fill="FFFFFF"/>
        </w:rPr>
        <w:t>《国家税务总局 财政部 人力资源社会保障部 教育部 民政部关于继续实施支持和促进重点群体创业就业有关税收政策具体操作问题的公告》（国家税务总局公告2017年第27号）同时废止。</w:t>
      </w:r>
      <w:r>
        <w:rPr>
          <w:rFonts w:hint="eastAsia" w:ascii="微软雅黑" w:hAnsi="微软雅黑" w:eastAsia="微软雅黑" w:cs="微软雅黑"/>
          <w:color w:val="333333"/>
          <w:sz w:val="24"/>
          <w:szCs w:val="24"/>
          <w:shd w:val="clear" w:fill="FFFFFF"/>
        </w:rPr>
        <w:br w:type="textWrapping"/>
      </w:r>
      <w:r>
        <w:rPr>
          <w:rFonts w:hint="eastAsia" w:ascii="微软雅黑" w:hAnsi="微软雅黑" w:eastAsia="微软雅黑" w:cs="微软雅黑"/>
          <w:color w:val="333333"/>
          <w:sz w:val="24"/>
          <w:szCs w:val="24"/>
          <w:shd w:val="clear" w:fill="FFFFFF"/>
        </w:rPr>
        <w:t>　　特此公告。</w:t>
      </w: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pStyle w:val="5"/>
        <w:keepNext w:val="0"/>
        <w:keepLines w:val="0"/>
        <w:widowControl/>
        <w:suppressLineNumbers w:val="0"/>
        <w:spacing w:before="0" w:beforeAutospacing="0" w:after="0" w:afterAutospacing="0"/>
        <w:ind w:left="0" w:right="0"/>
        <w:rPr>
          <w:rFonts w:ascii="微软雅黑" w:hAnsi="微软雅黑" w:eastAsia="微软雅黑" w:cs="微软雅黑"/>
          <w:color w:val="1369C0"/>
          <w:sz w:val="24"/>
          <w:szCs w:val="24"/>
          <w:u w:val="none"/>
        </w:rPr>
      </w:pPr>
    </w:p>
    <w:p>
      <w:pPr>
        <w:keepNext w:val="0"/>
        <w:keepLines w:val="0"/>
        <w:widowControl/>
        <w:suppressLineNumbers w:val="0"/>
        <w:pBdr>
          <w:top w:val="none" w:color="auto" w:sz="0" w:space="0"/>
          <w:bottom w:val="none" w:color="auto" w:sz="0" w:space="0"/>
        </w:pBdr>
        <w:shd w:val="clear" w:fill="FFFFFF"/>
        <w:spacing w:before="0" w:beforeAutospacing="0" w:after="0" w:afterAutospacing="0" w:line="540"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0B67BA"/>
          <w:kern w:val="0"/>
          <w:sz w:val="27"/>
          <w:szCs w:val="27"/>
          <w:u w:val="none"/>
          <w:shd w:val="clear" w:fill="FFFFFF"/>
          <w:lang w:val="en-US" w:eastAsia="zh-CN" w:bidi="ar"/>
        </w:rPr>
        <w:fldChar w:fldCharType="begin"/>
      </w:r>
      <w:r>
        <w:rPr>
          <w:rFonts w:hint="eastAsia" w:ascii="微软雅黑" w:hAnsi="微软雅黑" w:eastAsia="微软雅黑" w:cs="微软雅黑"/>
          <w:color w:val="0B67BA"/>
          <w:kern w:val="0"/>
          <w:sz w:val="27"/>
          <w:szCs w:val="27"/>
          <w:u w:val="none"/>
          <w:shd w:val="clear" w:fill="FFFFFF"/>
          <w:lang w:val="en-US" w:eastAsia="zh-CN" w:bidi="ar"/>
        </w:rPr>
        <w:instrText xml:space="preserve"> HYPERLINK "http://hd.chinatax.gov.cn/fuwu/jiucuo.html" \t "http://www.chinatax.gov.cn/n810341/n810760/c4092033/_blank" </w:instrText>
      </w:r>
      <w:r>
        <w:rPr>
          <w:rFonts w:hint="eastAsia" w:ascii="微软雅黑" w:hAnsi="微软雅黑" w:eastAsia="微软雅黑" w:cs="微软雅黑"/>
          <w:color w:val="0B67BA"/>
          <w:kern w:val="0"/>
          <w:sz w:val="27"/>
          <w:szCs w:val="27"/>
          <w:u w:val="none"/>
          <w:shd w:val="clear" w:fill="FFFFFF"/>
          <w:lang w:val="en-US" w:eastAsia="zh-CN" w:bidi="ar"/>
        </w:rPr>
        <w:fldChar w:fldCharType="separate"/>
      </w:r>
      <w:r>
        <w:rPr>
          <w:rFonts w:hint="eastAsia" w:ascii="微软雅黑" w:hAnsi="微软雅黑" w:eastAsia="微软雅黑" w:cs="微软雅黑"/>
          <w:color w:val="0B67BA"/>
          <w:kern w:val="0"/>
          <w:sz w:val="27"/>
          <w:szCs w:val="27"/>
          <w:u w:val="none"/>
          <w:shd w:val="clear" w:fill="FFFFFF"/>
          <w:lang w:val="en-US" w:eastAsia="zh-CN" w:bidi="ar"/>
        </w:rPr>
        <w:fldChar w:fldCharType="end"/>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A298C"/>
    <w:rsid w:val="0DB46470"/>
    <w:rsid w:val="223D2F6F"/>
    <w:rsid w:val="336E6AA6"/>
    <w:rsid w:val="4016556C"/>
    <w:rsid w:val="606C64D5"/>
    <w:rsid w:val="6E7A298C"/>
    <w:rsid w:val="72B70E34"/>
    <w:rsid w:val="793B059D"/>
    <w:rsid w:val="798B3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character" w:customStyle="1" w:styleId="11">
    <w:name w:val="hao1"/>
    <w:basedOn w:val="7"/>
    <w:qFormat/>
    <w:uiPriority w:val="0"/>
    <w:rPr>
      <w:b/>
    </w:rPr>
  </w:style>
  <w:style w:type="character" w:customStyle="1" w:styleId="12">
    <w:name w:val="wz"/>
    <w:basedOn w:val="7"/>
    <w:qFormat/>
    <w:uiPriority w:val="0"/>
    <w:rPr>
      <w:vanish/>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2021-11-01T02:22:00Z</dcterms:created>
  <dc:creator>北京大成（南宁）黄剑</dc:creator>
  <cp:lastModifiedBy>q'w</cp:lastModifiedBy>
  <cp:lastPrinted>2021-12-13T02:31:00Z</cp:lastPrinted>
  <dcterms:modified xsi:type="dcterms:W3CDTF">2022-01-06T09:53:44Z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585AD783961C42E2888E1B765361D362</vt:lpwstr>
  </property>
</Properties>
</file>