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exact"/>
        <w:jc w:val="center"/>
        <w:outlineLvl w:val="0"/>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桂林市象山区教育局2026年食堂供应商</w:t>
      </w:r>
      <w:r>
        <w:rPr>
          <w:rFonts w:hint="eastAsia" w:ascii="宋体" w:hAnsi="宋体" w:eastAsia="宋体" w:cs="宋体"/>
          <w:b/>
          <w:kern w:val="0"/>
          <w:sz w:val="32"/>
          <w:szCs w:val="32"/>
          <w:lang w:val="en-US" w:eastAsia="zh-CN"/>
        </w:rPr>
        <w:t>报价文件要求</w:t>
      </w:r>
    </w:p>
    <w:p>
      <w:pPr>
        <w:pStyle w:val="2"/>
        <w:rPr>
          <w:rFonts w:hint="eastAsia" w:ascii="宋体" w:hAnsi="宋体" w:eastAsia="宋体" w:cs="宋体"/>
          <w:b/>
          <w:kern w:val="0"/>
          <w:sz w:val="32"/>
          <w:szCs w:val="32"/>
          <w:lang w:val="en-US" w:eastAsia="zh-CN"/>
        </w:rPr>
      </w:pP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为保证桂林市象山区教育局食堂供餐正常运转。现公开致函,邀请符合要求的供应商参与桂林市象山区教育局食堂食材供应,对食材供应商的报价文件要求如下：</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折扣率要求:</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（1）本次报价只允许有一个方案,一个报价,多方案、多报价的将不被接受。</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（2）报价即为折扣率，报价为供应商的报价进行政策性扣除后的价格，最终成交供应商的成交折扣率等于报价。</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2.方案要求：</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（1）组织架构及管理制度</w:t>
      </w:r>
    </w:p>
    <w:p>
      <w:pPr>
        <w:pStyle w:val="4"/>
        <w:wordWrap w:val="0"/>
        <w:spacing w:line="3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架构、相关管理制度或相关考核管理制度描述、岗位设置、各项管理制度方案，包括但不限于质量检验制度、消费投诉处理制度、准入台账登记制度、卫生知识培训制度、留样管理制度、从业人员健康制度、财务管理制度等。</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（2）质量措施</w:t>
      </w:r>
    </w:p>
    <w:p>
      <w:pPr>
        <w:pStyle w:val="4"/>
        <w:wordWrap w:val="0"/>
        <w:spacing w:line="3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进货采购渠道、食材控制管理措施、质量安全保证措施、食材质量标准、追溯方式、检验检疫措施等。</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（3）食品安全方案</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食品质量安全管理方案；食品安全管控指标；食品安全管理岗位责任；食品来源追溯方案；食品安全事故处理流程及处理方法。</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（4）应急方案</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应急处理预案及紧急情况应对措施。</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3.服务保障：</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（1）食品安全保险</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供应商购买有食品安全责任险且保险有效期截止时间在合同履约完毕之后（如保险有效期截止时间为合同履约期间，需提供食品安全责任险投保保单及购买发票等相关证明材料复印件，</w:t>
      </w:r>
      <w:r>
        <w:rPr>
          <w:rFonts w:hint="eastAsia" w:ascii="仿宋_GB2312" w:hAnsi="仿宋_GB2312" w:eastAsia="仿宋_GB2312" w:cs="仿宋_GB2312"/>
          <w:kern w:val="2"/>
          <w:sz w:val="32"/>
          <w:szCs w:val="32"/>
          <w:highlight w:val="none"/>
          <w:lang w:val="en-US" w:eastAsia="zh-CN" w:bidi="ar-SA"/>
        </w:rPr>
        <w:t>如保险有效期截止时间为合同履约期间，还需提供续保承诺函）</w:t>
      </w:r>
      <w:r>
        <w:rPr>
          <w:rFonts w:hint="eastAsia" w:ascii="仿宋_GB2312" w:hAnsi="仿宋_GB2312" w:eastAsia="仿宋_GB2312" w:cs="仿宋_GB2312"/>
          <w:kern w:val="2"/>
          <w:sz w:val="32"/>
          <w:szCs w:val="32"/>
          <w:lang w:val="en-US" w:eastAsia="zh-CN" w:bidi="ar-SA"/>
        </w:rPr>
        <w:t>。</w:t>
      </w:r>
    </w:p>
    <w:p>
      <w:pPr>
        <w:pStyle w:val="2"/>
        <w:ind w:firstLine="640" w:firstLineChars="200"/>
        <w:rPr>
          <w:rFonts w:hint="eastAsia" w:ascii="仿宋_GB2312" w:hAnsi="仿宋_GB2312" w:eastAsia="仿宋_GB2312" w:cs="仿宋_GB2312"/>
          <w:kern w:val="2"/>
          <w:sz w:val="32"/>
          <w:szCs w:val="32"/>
          <w:lang w:val="en-US" w:eastAsia="zh-CN" w:bidi="ar-SA"/>
        </w:rPr>
      </w:pPr>
    </w:p>
    <w:p>
      <w:pPr>
        <w:pStyle w:val="4"/>
        <w:wordWrap w:val="0"/>
        <w:spacing w:line="3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（2）专业检测保障</w:t>
      </w:r>
    </w:p>
    <w:p>
      <w:pPr>
        <w:pStyle w:val="4"/>
        <w:wordWrap w:val="0"/>
        <w:spacing w:line="3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相应的专业检测设备及检测人员，包括但不限于农药残留检测仪、肉类水分检测仪、细菌检测仪、重金属检测仪等。</w:t>
      </w:r>
    </w:p>
    <w:p>
      <w:pPr>
        <w:pStyle w:val="4"/>
        <w:wordWrap w:val="0"/>
        <w:spacing w:line="3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（3）售后服务保障</w:t>
      </w:r>
    </w:p>
    <w:p>
      <w:pPr>
        <w:pStyle w:val="4"/>
        <w:wordWrap w:val="0"/>
        <w:spacing w:line="3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售后服务人员工作职责；处理办法（对于超过保质期、因损坏、虫蛀等情况无法适合食用的食材）；退换货机制；售后解决问题的措施。</w:t>
      </w:r>
    </w:p>
    <w:p>
      <w:pPr>
        <w:widowControl/>
        <w:tabs>
          <w:tab w:val="left" w:pos="180"/>
          <w:tab w:val="left" w:pos="525"/>
          <w:tab w:val="left" w:pos="720"/>
        </w:tabs>
        <w:spacing w:line="380" w:lineRule="exact"/>
        <w:ind w:firstLine="640" w:firstLineChars="200"/>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4.业绩能力:</w:t>
      </w:r>
    </w:p>
    <w:p>
      <w:pPr>
        <w:pStyle w:val="4"/>
        <w:wordWrap w:val="0"/>
        <w:spacing w:line="3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供应商2022年以来具有同类项目业绩（无不良记录，以中标、成交通知书或签订的项目合同复印件为准，同一个编号的项目有两个或两个以上的分标中标（成交）的只算一次）。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BB5DE"/>
    <w:multiLevelType w:val="singleLevel"/>
    <w:tmpl w:val="B18BB5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00"/>
    <w:rsid w:val="00075100"/>
    <w:rsid w:val="064E4FCA"/>
    <w:rsid w:val="06960441"/>
    <w:rsid w:val="1AE140C8"/>
    <w:rsid w:val="2D8947BA"/>
    <w:rsid w:val="2DD34773"/>
    <w:rsid w:val="310559F9"/>
    <w:rsid w:val="43641A6D"/>
    <w:rsid w:val="473F02A7"/>
    <w:rsid w:val="4F815FF4"/>
    <w:rsid w:val="52127F8C"/>
    <w:rsid w:val="571F717C"/>
    <w:rsid w:val="65D91D99"/>
    <w:rsid w:val="68E1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jc w:val="left"/>
    </w:pPr>
    <w:rPr>
      <w:sz w:val="18"/>
      <w:szCs w:val="18"/>
    </w:rPr>
  </w:style>
  <w:style w:type="paragraph" w:styleId="3">
    <w:name w:val="index 8"/>
    <w:basedOn w:val="1"/>
    <w:next w:val="1"/>
    <w:qFormat/>
    <w:uiPriority w:val="0"/>
    <w:pPr>
      <w:ind w:left="2940"/>
    </w:pPr>
  </w:style>
  <w:style w:type="paragraph" w:styleId="4">
    <w:name w:val="Plain Text"/>
    <w:basedOn w:val="1"/>
    <w:next w:val="3"/>
    <w:qFormat/>
    <w:uiPriority w:val="0"/>
    <w:rPr>
      <w:rFonts w:ascii="宋体" w:hAnsi="Courier New"/>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2026-01-04T07:21:00Z</dcterms:created>
  <dc:creator>曾卓哲</dc:creator>
  <cp:lastModifiedBy>曾卓哲</cp:lastModifiedBy>
  <cp:lastPrinted>2026-01-14T07:28:00Z</cp:lastPrinted>
  <dcterms:modified xsi:type="dcterms:W3CDTF">2026-01-16T09:47:51Z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